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AC6A2" w14:textId="77777777" w:rsidR="008306A7" w:rsidRDefault="008306A7" w:rsidP="008306A7">
      <w:pPr>
        <w:tabs>
          <w:tab w:val="left" w:pos="4770"/>
          <w:tab w:val="decimal" w:pos="9720"/>
        </w:tabs>
        <w:jc w:val="center"/>
        <w:rPr>
          <w:rFonts w:ascii="Times New Roman" w:hAnsi="Times New Roman"/>
          <w:sz w:val="26"/>
          <w:szCs w:val="26"/>
        </w:rPr>
      </w:pPr>
      <w:r>
        <w:rPr>
          <w:rFonts w:ascii="Times New Roman" w:hAnsi="Times New Roman"/>
          <w:sz w:val="26"/>
          <w:szCs w:val="26"/>
        </w:rPr>
        <w:t>THREE-STEP APPRAISAL PROCEDURE</w:t>
      </w:r>
    </w:p>
    <w:p w14:paraId="094331FC" w14:textId="77777777" w:rsidR="008306A7" w:rsidRDefault="008306A7" w:rsidP="008306A7">
      <w:pPr>
        <w:tabs>
          <w:tab w:val="left" w:pos="720"/>
          <w:tab w:val="left" w:pos="1440"/>
          <w:tab w:val="decimal" w:pos="9720"/>
        </w:tabs>
        <w:jc w:val="center"/>
        <w:rPr>
          <w:rFonts w:ascii="Times New Roman" w:hAnsi="Times New Roman"/>
          <w:sz w:val="26"/>
          <w:szCs w:val="26"/>
        </w:rPr>
      </w:pPr>
    </w:p>
    <w:p w14:paraId="71E1510F" w14:textId="77777777" w:rsidR="008306A7" w:rsidRPr="001B748D" w:rsidRDefault="008306A7" w:rsidP="008306A7">
      <w:pPr>
        <w:tabs>
          <w:tab w:val="left" w:pos="720"/>
          <w:tab w:val="left" w:pos="1440"/>
          <w:tab w:val="decimal" w:pos="9720"/>
        </w:tabs>
        <w:spacing w:after="120"/>
        <w:rPr>
          <w:rFonts w:ascii="Times New Roman" w:hAnsi="Times New Roman"/>
          <w:sz w:val="26"/>
          <w:szCs w:val="26"/>
        </w:rPr>
      </w:pPr>
      <w:r>
        <w:rPr>
          <w:rFonts w:ascii="Times New Roman" w:hAnsi="Times New Roman"/>
          <w:sz w:val="26"/>
          <w:szCs w:val="26"/>
        </w:rPr>
        <w:tab/>
      </w:r>
      <w:r w:rsidRPr="001B748D">
        <w:rPr>
          <w:rFonts w:ascii="Times New Roman" w:hAnsi="Times New Roman"/>
          <w:sz w:val="26"/>
          <w:szCs w:val="26"/>
        </w:rPr>
        <w:t xml:space="preserve">The Appraisal Procedure </w:t>
      </w:r>
      <w:r>
        <w:rPr>
          <w:rFonts w:ascii="Times New Roman" w:hAnsi="Times New Roman"/>
          <w:sz w:val="26"/>
          <w:szCs w:val="26"/>
        </w:rPr>
        <w:t xml:space="preserve">that the Parties shall use, </w:t>
      </w:r>
      <w:r w:rsidRPr="001B748D">
        <w:rPr>
          <w:rFonts w:ascii="Times New Roman" w:hAnsi="Times New Roman"/>
          <w:sz w:val="26"/>
          <w:szCs w:val="26"/>
        </w:rPr>
        <w:t>if an appraisal is needed</w:t>
      </w:r>
      <w:r>
        <w:rPr>
          <w:rFonts w:ascii="Times New Roman" w:hAnsi="Times New Roman"/>
          <w:sz w:val="26"/>
          <w:szCs w:val="26"/>
        </w:rPr>
        <w:t>,</w:t>
      </w:r>
      <w:r w:rsidRPr="001B748D">
        <w:rPr>
          <w:rFonts w:ascii="Times New Roman" w:hAnsi="Times New Roman"/>
          <w:sz w:val="26"/>
          <w:szCs w:val="26"/>
        </w:rPr>
        <w:t xml:space="preserve"> shall be conducted as follows:</w:t>
      </w:r>
    </w:p>
    <w:p w14:paraId="6BEF9559" w14:textId="77777777" w:rsidR="008306A7" w:rsidRPr="001B748D" w:rsidRDefault="008306A7" w:rsidP="008306A7">
      <w:pPr>
        <w:tabs>
          <w:tab w:val="left" w:pos="720"/>
          <w:tab w:val="left" w:pos="1440"/>
          <w:tab w:val="decimal" w:pos="9720"/>
        </w:tabs>
        <w:spacing w:after="120"/>
        <w:rPr>
          <w:rFonts w:ascii="Times New Roman" w:hAnsi="Times New Roman"/>
          <w:sz w:val="26"/>
          <w:szCs w:val="26"/>
        </w:rPr>
      </w:pPr>
      <w:r>
        <w:rPr>
          <w:rFonts w:ascii="Times New Roman" w:hAnsi="Times New Roman"/>
          <w:sz w:val="26"/>
          <w:szCs w:val="26"/>
        </w:rPr>
        <w:tab/>
      </w:r>
      <w:r w:rsidRPr="001B748D">
        <w:rPr>
          <w:rFonts w:ascii="Times New Roman" w:hAnsi="Times New Roman"/>
          <w:sz w:val="26"/>
          <w:szCs w:val="26"/>
        </w:rPr>
        <w:t>(a)</w:t>
      </w:r>
      <w:r w:rsidRPr="001B748D">
        <w:rPr>
          <w:rFonts w:ascii="Times New Roman" w:hAnsi="Times New Roman"/>
          <w:sz w:val="26"/>
          <w:szCs w:val="26"/>
        </w:rPr>
        <w:tab/>
        <w:t>The Parties shall confer about the fair market value of the property</w:t>
      </w:r>
      <w:r>
        <w:rPr>
          <w:rFonts w:ascii="Times New Roman" w:hAnsi="Times New Roman"/>
          <w:sz w:val="26"/>
          <w:szCs w:val="26"/>
        </w:rPr>
        <w:t xml:space="preserve"> (i.e., real estate, business, or other property)</w:t>
      </w:r>
      <w:r w:rsidRPr="001B748D">
        <w:rPr>
          <w:rFonts w:ascii="Times New Roman" w:hAnsi="Times New Roman"/>
          <w:sz w:val="26"/>
          <w:szCs w:val="26"/>
        </w:rPr>
        <w:t>.  If they fail to reach agreement, they shall jointly hire a certified residential real estate appraiser</w:t>
      </w:r>
      <w:r>
        <w:rPr>
          <w:rFonts w:ascii="Times New Roman" w:hAnsi="Times New Roman"/>
          <w:sz w:val="26"/>
          <w:szCs w:val="26"/>
        </w:rPr>
        <w:t xml:space="preserve"> or certified business appraiser</w:t>
      </w:r>
      <w:r w:rsidRPr="001B748D">
        <w:rPr>
          <w:rFonts w:ascii="Times New Roman" w:hAnsi="Times New Roman"/>
          <w:sz w:val="26"/>
          <w:szCs w:val="26"/>
        </w:rPr>
        <w:t xml:space="preserve"> (</w:t>
      </w:r>
      <w:r>
        <w:rPr>
          <w:rFonts w:ascii="Times New Roman" w:hAnsi="Times New Roman"/>
          <w:sz w:val="26"/>
          <w:szCs w:val="26"/>
        </w:rPr>
        <w:t xml:space="preserve">the </w:t>
      </w:r>
      <w:r w:rsidRPr="001B748D">
        <w:rPr>
          <w:rFonts w:ascii="Times New Roman" w:hAnsi="Times New Roman"/>
          <w:sz w:val="26"/>
          <w:szCs w:val="26"/>
        </w:rPr>
        <w:t xml:space="preserve">“Appraiser”).  Absent agreement on the selection of the Appraiser, each Party shall choose an Appraiser, and those two shall select the Appraiser to be used by the Parties. </w:t>
      </w:r>
    </w:p>
    <w:p w14:paraId="61415C8F" w14:textId="77777777" w:rsidR="008306A7" w:rsidRPr="001B748D" w:rsidRDefault="008306A7" w:rsidP="008306A7">
      <w:pPr>
        <w:tabs>
          <w:tab w:val="left" w:pos="720"/>
          <w:tab w:val="left" w:pos="1440"/>
          <w:tab w:val="decimal" w:pos="9720"/>
        </w:tabs>
        <w:spacing w:after="120"/>
        <w:rPr>
          <w:rFonts w:ascii="Times New Roman" w:hAnsi="Times New Roman"/>
          <w:sz w:val="26"/>
          <w:szCs w:val="26"/>
        </w:rPr>
      </w:pPr>
      <w:r>
        <w:rPr>
          <w:rFonts w:ascii="Times New Roman" w:hAnsi="Times New Roman"/>
          <w:sz w:val="26"/>
          <w:szCs w:val="26"/>
        </w:rPr>
        <w:tab/>
      </w:r>
      <w:r w:rsidRPr="001B748D">
        <w:rPr>
          <w:rFonts w:ascii="Times New Roman" w:hAnsi="Times New Roman"/>
          <w:sz w:val="26"/>
          <w:szCs w:val="26"/>
        </w:rPr>
        <w:t>(b)</w:t>
      </w:r>
      <w:r w:rsidRPr="001B748D">
        <w:rPr>
          <w:rFonts w:ascii="Times New Roman" w:hAnsi="Times New Roman"/>
          <w:sz w:val="26"/>
          <w:szCs w:val="26"/>
        </w:rPr>
        <w:tab/>
        <w:t>After receiving this initial appraisal, the Parties shall confer about whether they agree on the value of the property.  If they do not, they shall jointly hire a second Appraiser by agreement or using the method described above.</w:t>
      </w:r>
    </w:p>
    <w:p w14:paraId="2388C313" w14:textId="77777777" w:rsidR="008306A7" w:rsidRPr="001B748D" w:rsidRDefault="008306A7" w:rsidP="008306A7">
      <w:pPr>
        <w:tabs>
          <w:tab w:val="left" w:pos="720"/>
          <w:tab w:val="left" w:pos="1440"/>
          <w:tab w:val="decimal" w:pos="9720"/>
        </w:tabs>
        <w:spacing w:after="120"/>
        <w:rPr>
          <w:rFonts w:ascii="Times New Roman" w:hAnsi="Times New Roman"/>
          <w:sz w:val="26"/>
          <w:szCs w:val="26"/>
        </w:rPr>
      </w:pPr>
      <w:r>
        <w:rPr>
          <w:rFonts w:ascii="Times New Roman" w:hAnsi="Times New Roman"/>
          <w:sz w:val="26"/>
          <w:szCs w:val="26"/>
        </w:rPr>
        <w:tab/>
      </w:r>
      <w:r w:rsidRPr="001B748D">
        <w:rPr>
          <w:rFonts w:ascii="Times New Roman" w:hAnsi="Times New Roman"/>
          <w:sz w:val="26"/>
          <w:szCs w:val="26"/>
        </w:rPr>
        <w:t>(c)</w:t>
      </w:r>
      <w:r w:rsidRPr="001B748D">
        <w:rPr>
          <w:rFonts w:ascii="Times New Roman" w:hAnsi="Times New Roman"/>
          <w:sz w:val="26"/>
          <w:szCs w:val="26"/>
        </w:rPr>
        <w:tab/>
        <w:t>After receiving the second appraisal, the Parties shall confer about whether they agree on the value of the property.  If they do not, they shall jointly hire a third Appraiser by agreement or using the method described above.</w:t>
      </w:r>
    </w:p>
    <w:p w14:paraId="50B083AC" w14:textId="77777777" w:rsidR="008306A7" w:rsidRPr="001B748D" w:rsidRDefault="008306A7" w:rsidP="008306A7">
      <w:pPr>
        <w:tabs>
          <w:tab w:val="left" w:pos="720"/>
          <w:tab w:val="left" w:pos="1440"/>
          <w:tab w:val="decimal" w:pos="9720"/>
        </w:tabs>
        <w:spacing w:after="120"/>
        <w:rPr>
          <w:rFonts w:ascii="Times New Roman" w:hAnsi="Times New Roman"/>
          <w:sz w:val="26"/>
          <w:szCs w:val="26"/>
        </w:rPr>
      </w:pPr>
      <w:r>
        <w:rPr>
          <w:rFonts w:ascii="Times New Roman" w:hAnsi="Times New Roman"/>
          <w:sz w:val="26"/>
          <w:szCs w:val="26"/>
        </w:rPr>
        <w:tab/>
      </w:r>
      <w:r w:rsidRPr="001B748D">
        <w:rPr>
          <w:rFonts w:ascii="Times New Roman" w:hAnsi="Times New Roman"/>
          <w:sz w:val="26"/>
          <w:szCs w:val="26"/>
        </w:rPr>
        <w:t>(d)</w:t>
      </w:r>
      <w:r w:rsidRPr="001B748D">
        <w:rPr>
          <w:rFonts w:ascii="Times New Roman" w:hAnsi="Times New Roman"/>
          <w:sz w:val="26"/>
          <w:szCs w:val="26"/>
        </w:rPr>
        <w:tab/>
        <w:t>The Parties shall then average the three appraisals and that shall be the value of the property, unless one of the appraisals is 15% higher or lower than the average of the other two, in which case the remaining two will be averaged, and that shall be the value.  If two of the appraisals are more than 15% higher or lower than the average of the other two, the appraisal to be ignored for averaging purposes shall be the appraisal that is more disparate than the other.</w:t>
      </w:r>
    </w:p>
    <w:p w14:paraId="1EB83A2C" w14:textId="77777777" w:rsidR="008306A7" w:rsidRPr="001B748D" w:rsidRDefault="008306A7" w:rsidP="008306A7">
      <w:pPr>
        <w:tabs>
          <w:tab w:val="left" w:pos="720"/>
          <w:tab w:val="left" w:pos="1440"/>
          <w:tab w:val="decimal" w:pos="9720"/>
        </w:tabs>
        <w:spacing w:after="120"/>
        <w:rPr>
          <w:rFonts w:ascii="Times New Roman" w:hAnsi="Times New Roman"/>
          <w:sz w:val="26"/>
          <w:szCs w:val="26"/>
        </w:rPr>
      </w:pPr>
      <w:r>
        <w:rPr>
          <w:rFonts w:ascii="Times New Roman" w:hAnsi="Times New Roman"/>
          <w:sz w:val="26"/>
          <w:szCs w:val="26"/>
        </w:rPr>
        <w:tab/>
      </w:r>
      <w:r w:rsidRPr="001B748D">
        <w:rPr>
          <w:rFonts w:ascii="Times New Roman" w:hAnsi="Times New Roman"/>
          <w:sz w:val="26"/>
          <w:szCs w:val="26"/>
        </w:rPr>
        <w:t>(e)</w:t>
      </w:r>
      <w:r w:rsidRPr="001B748D">
        <w:rPr>
          <w:rFonts w:ascii="Times New Roman" w:hAnsi="Times New Roman"/>
          <w:sz w:val="26"/>
          <w:szCs w:val="26"/>
        </w:rPr>
        <w:tab/>
        <w:t>With regard to all of these appraisals, neither Party shall contact the appraiser separately</w:t>
      </w:r>
      <w:r>
        <w:rPr>
          <w:rFonts w:ascii="Times New Roman" w:hAnsi="Times New Roman"/>
          <w:sz w:val="26"/>
          <w:szCs w:val="26"/>
        </w:rPr>
        <w:t xml:space="preserve">.  In the case of real estate, </w:t>
      </w:r>
      <w:r w:rsidRPr="001B748D">
        <w:rPr>
          <w:rFonts w:ascii="Times New Roman" w:hAnsi="Times New Roman"/>
          <w:sz w:val="26"/>
          <w:szCs w:val="26"/>
        </w:rPr>
        <w:t>neither shall be at the property when it is being inspected by the appraiser unless both Parties are present.</w:t>
      </w:r>
      <w:r>
        <w:rPr>
          <w:rFonts w:ascii="Times New Roman" w:hAnsi="Times New Roman"/>
          <w:sz w:val="26"/>
          <w:szCs w:val="26"/>
        </w:rPr>
        <w:t xml:space="preserve">  In the case of a business appraisal, both Parties shall be entitled to attend any meetings and participate in any discussions (oral or written) with the Appraiser.</w:t>
      </w:r>
    </w:p>
    <w:p w14:paraId="1C9C77EA" w14:textId="77777777" w:rsidR="008306A7" w:rsidRPr="001B748D" w:rsidRDefault="008306A7" w:rsidP="008306A7">
      <w:pPr>
        <w:tabs>
          <w:tab w:val="left" w:pos="720"/>
          <w:tab w:val="left" w:pos="1440"/>
          <w:tab w:val="decimal" w:pos="9720"/>
        </w:tabs>
        <w:spacing w:after="120"/>
        <w:rPr>
          <w:rFonts w:ascii="Times New Roman" w:hAnsi="Times New Roman"/>
          <w:sz w:val="26"/>
          <w:szCs w:val="26"/>
        </w:rPr>
      </w:pPr>
      <w:r w:rsidRPr="001B748D">
        <w:rPr>
          <w:rFonts w:ascii="Times New Roman" w:hAnsi="Times New Roman"/>
          <w:sz w:val="26"/>
          <w:szCs w:val="26"/>
        </w:rPr>
        <w:tab/>
        <w:t>(f)</w:t>
      </w:r>
      <w:r w:rsidRPr="001B748D">
        <w:rPr>
          <w:rFonts w:ascii="Times New Roman" w:hAnsi="Times New Roman"/>
          <w:sz w:val="26"/>
          <w:szCs w:val="26"/>
        </w:rPr>
        <w:tab/>
        <w:t>The Parties shall share equally the cost of the appraisals.</w:t>
      </w:r>
    </w:p>
    <w:p w14:paraId="39B0FBE3" w14:textId="77777777" w:rsidR="008306A7" w:rsidRPr="008C65C5" w:rsidRDefault="008306A7" w:rsidP="008306A7">
      <w:pPr>
        <w:tabs>
          <w:tab w:val="left" w:pos="720"/>
          <w:tab w:val="left" w:pos="1440"/>
          <w:tab w:val="decimal" w:pos="9720"/>
        </w:tabs>
        <w:jc w:val="center"/>
        <w:rPr>
          <w:rFonts w:ascii="Times New Roman" w:hAnsi="Times New Roman"/>
          <w:sz w:val="26"/>
          <w:szCs w:val="26"/>
        </w:rPr>
      </w:pPr>
    </w:p>
    <w:p w14:paraId="52BBFD65" w14:textId="77777777" w:rsidR="004B3B2E" w:rsidRDefault="004B3B2E"/>
    <w:sectPr w:rsidR="004B3B2E" w:rsidSect="008306A7">
      <w:footerReference w:type="default" r:id="rId6"/>
      <w:pgSz w:w="12240" w:h="15840" w:code="1"/>
      <w:pgMar w:top="1440" w:right="1440" w:bottom="1440"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46FB" w14:textId="77777777" w:rsidR="00E8512A" w:rsidRDefault="00E8512A">
      <w:r>
        <w:separator/>
      </w:r>
    </w:p>
  </w:endnote>
  <w:endnote w:type="continuationSeparator" w:id="0">
    <w:p w14:paraId="4F45FF9D" w14:textId="77777777" w:rsidR="00E8512A" w:rsidRDefault="00E8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0FED" w14:textId="77777777" w:rsidR="009D6D0C" w:rsidRDefault="009D6D0C">
    <w:pPr>
      <w:rPr>
        <w:rFonts w:ascii="Times New Roman" w:hAnsi="Times New Roman"/>
        <w:sz w:val="24"/>
        <w:szCs w:val="24"/>
      </w:rPr>
    </w:pPr>
  </w:p>
  <w:p w14:paraId="2ABBD67C" w14:textId="77777777" w:rsidR="009D6D0C" w:rsidRPr="00534EAC" w:rsidRDefault="00E8512A">
    <w:pPr>
      <w:rPr>
        <w:rFonts w:ascii="Times New Roman" w:hAnsi="Times New Roman"/>
        <w:sz w:val="24"/>
        <w:szCs w:val="24"/>
      </w:rPr>
    </w:pPr>
    <w:r>
      <w:rPr>
        <w:rFonts w:ascii="Times New Roman" w:hAnsi="Times New Roman"/>
        <w:sz w:val="24"/>
        <w:szCs w:val="24"/>
      </w:rPr>
      <w:t>Gates / Morash</w:t>
    </w:r>
    <w:r w:rsidRPr="00534EAC">
      <w:rPr>
        <w:rFonts w:ascii="Times New Roman" w:hAnsi="Times New Roman"/>
        <w:sz w:val="24"/>
        <w:szCs w:val="24"/>
      </w:rPr>
      <w:t xml:space="preserve"> Agreement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RG</w:t>
    </w:r>
  </w:p>
  <w:p w14:paraId="03200F4B" w14:textId="77777777" w:rsidR="009D6D0C" w:rsidRDefault="00E8512A">
    <w:pPr>
      <w:rPr>
        <w:rStyle w:val="PageNumber"/>
        <w:rFonts w:ascii="Times New Roman" w:eastAsiaTheme="majorEastAsia" w:hAnsi="Times New Roman"/>
        <w:sz w:val="24"/>
        <w:szCs w:val="24"/>
      </w:rPr>
    </w:pPr>
    <w:r w:rsidRPr="00534EAC">
      <w:rPr>
        <w:rFonts w:ascii="Times New Roman" w:hAnsi="Times New Roman"/>
        <w:sz w:val="24"/>
        <w:szCs w:val="24"/>
      </w:rPr>
      <w:t xml:space="preserve">Page </w:t>
    </w:r>
    <w:r w:rsidRPr="00534EAC">
      <w:rPr>
        <w:rStyle w:val="PageNumber"/>
        <w:rFonts w:ascii="Times New Roman" w:eastAsiaTheme="majorEastAsia" w:hAnsi="Times New Roman"/>
        <w:sz w:val="24"/>
        <w:szCs w:val="24"/>
      </w:rPr>
      <w:fldChar w:fldCharType="begin"/>
    </w:r>
    <w:r w:rsidRPr="00534EAC">
      <w:rPr>
        <w:rStyle w:val="PageNumber"/>
        <w:rFonts w:ascii="Times New Roman" w:eastAsiaTheme="majorEastAsia" w:hAnsi="Times New Roman"/>
        <w:sz w:val="24"/>
        <w:szCs w:val="24"/>
      </w:rPr>
      <w:instrText xml:space="preserve"> PAGE </w:instrText>
    </w:r>
    <w:r w:rsidRPr="00534EAC">
      <w:rPr>
        <w:rStyle w:val="PageNumber"/>
        <w:rFonts w:ascii="Times New Roman" w:eastAsiaTheme="majorEastAsia" w:hAnsi="Times New Roman"/>
        <w:sz w:val="24"/>
        <w:szCs w:val="24"/>
      </w:rPr>
      <w:fldChar w:fldCharType="separate"/>
    </w:r>
    <w:r>
      <w:rPr>
        <w:rStyle w:val="PageNumber"/>
        <w:rFonts w:ascii="Times New Roman" w:eastAsiaTheme="majorEastAsia" w:hAnsi="Times New Roman"/>
        <w:noProof/>
        <w:sz w:val="24"/>
        <w:szCs w:val="24"/>
      </w:rPr>
      <w:t>12</w:t>
    </w:r>
    <w:r w:rsidRPr="00534EAC">
      <w:rPr>
        <w:rStyle w:val="PageNumber"/>
        <w:rFonts w:ascii="Times New Roman" w:eastAsiaTheme="majorEastAsia" w:hAnsi="Times New Roman"/>
        <w:sz w:val="24"/>
        <w:szCs w:val="24"/>
      </w:rPr>
      <w:fldChar w:fldCharType="end"/>
    </w:r>
    <w:r w:rsidRPr="00534EAC">
      <w:rPr>
        <w:rStyle w:val="PageNumber"/>
        <w:rFonts w:ascii="Times New Roman" w:eastAsiaTheme="majorEastAsia" w:hAnsi="Times New Roman"/>
        <w:sz w:val="24"/>
        <w:szCs w:val="24"/>
      </w:rPr>
      <w:t xml:space="preserve"> of </w:t>
    </w:r>
    <w:r w:rsidRPr="00534EAC">
      <w:rPr>
        <w:rStyle w:val="PageNumber"/>
        <w:rFonts w:ascii="Times New Roman" w:eastAsiaTheme="majorEastAsia" w:hAnsi="Times New Roman"/>
        <w:sz w:val="24"/>
        <w:szCs w:val="24"/>
      </w:rPr>
      <w:fldChar w:fldCharType="begin"/>
    </w:r>
    <w:r w:rsidRPr="00534EAC">
      <w:rPr>
        <w:rStyle w:val="PageNumber"/>
        <w:rFonts w:ascii="Times New Roman" w:eastAsiaTheme="majorEastAsia" w:hAnsi="Times New Roman"/>
        <w:sz w:val="24"/>
        <w:szCs w:val="24"/>
      </w:rPr>
      <w:instrText xml:space="preserve"> NUMPAGES </w:instrText>
    </w:r>
    <w:r w:rsidRPr="00534EAC">
      <w:rPr>
        <w:rStyle w:val="PageNumber"/>
        <w:rFonts w:ascii="Times New Roman" w:eastAsiaTheme="majorEastAsia" w:hAnsi="Times New Roman"/>
        <w:sz w:val="24"/>
        <w:szCs w:val="24"/>
      </w:rPr>
      <w:fldChar w:fldCharType="separate"/>
    </w:r>
    <w:r>
      <w:rPr>
        <w:rStyle w:val="PageNumber"/>
        <w:rFonts w:ascii="Times New Roman" w:eastAsiaTheme="majorEastAsia" w:hAnsi="Times New Roman"/>
        <w:noProof/>
        <w:sz w:val="24"/>
        <w:szCs w:val="24"/>
      </w:rPr>
      <w:t>12</w:t>
    </w:r>
    <w:r w:rsidRPr="00534EAC">
      <w:rPr>
        <w:rStyle w:val="PageNumber"/>
        <w:rFonts w:ascii="Times New Roman" w:eastAsiaTheme="majorEastAsia" w:hAnsi="Times New Roman"/>
        <w:sz w:val="24"/>
        <w:szCs w:val="24"/>
      </w:rPr>
      <w:fldChar w:fldCharType="end"/>
    </w:r>
  </w:p>
  <w:p w14:paraId="7FF76538" w14:textId="77777777" w:rsidR="009D6D0C" w:rsidRPr="00534EAC" w:rsidRDefault="00E8512A">
    <w:pPr>
      <w:rPr>
        <w:rFonts w:ascii="Times New Roman" w:hAnsi="Times New Roman"/>
        <w:sz w:val="24"/>
        <w:szCs w:val="24"/>
      </w:rPr>
    </w:pPr>
    <w:r>
      <w:rPr>
        <w:rStyle w:val="PageNumber"/>
        <w:rFonts w:ascii="Times New Roman" w:eastAsiaTheme="majorEastAsia" w:hAnsi="Times New Roman"/>
        <w:sz w:val="24"/>
        <w:szCs w:val="24"/>
      </w:rPr>
      <w:tab/>
    </w:r>
    <w:r>
      <w:rPr>
        <w:rStyle w:val="PageNumber"/>
        <w:rFonts w:ascii="Times New Roman" w:eastAsiaTheme="majorEastAsia" w:hAnsi="Times New Roman"/>
        <w:sz w:val="24"/>
        <w:szCs w:val="24"/>
      </w:rPr>
      <w:tab/>
    </w:r>
    <w:r>
      <w:rPr>
        <w:rStyle w:val="PageNumber"/>
        <w:rFonts w:ascii="Times New Roman" w:eastAsiaTheme="majorEastAsia" w:hAnsi="Times New Roman"/>
        <w:sz w:val="24"/>
        <w:szCs w:val="24"/>
      </w:rPr>
      <w:tab/>
    </w:r>
    <w:r>
      <w:rPr>
        <w:rStyle w:val="PageNumber"/>
        <w:rFonts w:ascii="Times New Roman" w:eastAsiaTheme="majorEastAsia" w:hAnsi="Times New Roman"/>
        <w:sz w:val="24"/>
        <w:szCs w:val="24"/>
      </w:rPr>
      <w:tab/>
    </w:r>
    <w:r>
      <w:rPr>
        <w:rStyle w:val="PageNumber"/>
        <w:rFonts w:ascii="Times New Roman" w:eastAsiaTheme="majorEastAsia" w:hAnsi="Times New Roman"/>
        <w:sz w:val="24"/>
        <w:szCs w:val="24"/>
      </w:rPr>
      <w:tab/>
    </w:r>
    <w:r>
      <w:rPr>
        <w:rStyle w:val="PageNumber"/>
        <w:rFonts w:ascii="Times New Roman" w:eastAsiaTheme="majorEastAsia" w:hAnsi="Times New Roman"/>
        <w:sz w:val="24"/>
        <w:szCs w:val="24"/>
      </w:rPr>
      <w:tab/>
    </w:r>
    <w:r>
      <w:rPr>
        <w:rStyle w:val="PageNumber"/>
        <w:rFonts w:ascii="Times New Roman" w:eastAsiaTheme="majorEastAsia" w:hAnsi="Times New Roman"/>
        <w:sz w:val="24"/>
        <w:szCs w:val="24"/>
      </w:rPr>
      <w:tab/>
    </w:r>
    <w:r>
      <w:rPr>
        <w:rStyle w:val="PageNumber"/>
        <w:rFonts w:ascii="Times New Roman" w:eastAsiaTheme="majorEastAsia" w:hAnsi="Times New Roman"/>
        <w:sz w:val="24"/>
        <w:szCs w:val="24"/>
      </w:rPr>
      <w:tab/>
    </w:r>
    <w:r>
      <w:rPr>
        <w:rStyle w:val="PageNumber"/>
        <w:rFonts w:ascii="Times New Roman" w:eastAsiaTheme="majorEastAsia" w:hAnsi="Times New Roman"/>
        <w:sz w:val="24"/>
        <w:szCs w:val="24"/>
      </w:rPr>
      <w:tab/>
    </w:r>
    <w:r>
      <w:rPr>
        <w:rStyle w:val="PageNumber"/>
        <w:rFonts w:ascii="Times New Roman" w:eastAsiaTheme="majorEastAsia" w:hAnsi="Times New Roman"/>
        <w:sz w:val="24"/>
        <w:szCs w:val="24"/>
      </w:rPr>
      <w:tab/>
    </w:r>
    <w:r>
      <w:rPr>
        <w:rStyle w:val="PageNumber"/>
        <w:rFonts w:ascii="Times New Roman" w:eastAsiaTheme="majorEastAsia" w:hAnsi="Times New Roman"/>
        <w:sz w:val="24"/>
        <w:szCs w:val="24"/>
      </w:rPr>
      <w:tab/>
      <w:t>_____ JM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0C47A" w14:textId="77777777" w:rsidR="00E8512A" w:rsidRDefault="00E8512A">
      <w:r>
        <w:separator/>
      </w:r>
    </w:p>
  </w:footnote>
  <w:footnote w:type="continuationSeparator" w:id="0">
    <w:p w14:paraId="6A07D885" w14:textId="77777777" w:rsidR="00E8512A" w:rsidRDefault="00E85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A7"/>
    <w:rsid w:val="00261637"/>
    <w:rsid w:val="002A24E3"/>
    <w:rsid w:val="004B3B2E"/>
    <w:rsid w:val="00662423"/>
    <w:rsid w:val="008306A7"/>
    <w:rsid w:val="009D6D0C"/>
    <w:rsid w:val="00D30196"/>
    <w:rsid w:val="00E8512A"/>
    <w:rsid w:val="00F4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18DD"/>
  <w15:chartTrackingRefBased/>
  <w15:docId w15:val="{538BCB34-BAB6-498D-8C36-642F6BF5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6A7"/>
    <w:pPr>
      <w:overflowPunct w:val="0"/>
      <w:autoSpaceDE w:val="0"/>
      <w:autoSpaceDN w:val="0"/>
      <w:adjustRightInd w:val="0"/>
      <w:spacing w:after="0" w:line="240" w:lineRule="auto"/>
      <w:textAlignment w:val="baseline"/>
    </w:pPr>
    <w:rPr>
      <w:rFonts w:ascii="Courier New" w:eastAsia="Times New Roman" w:hAnsi="Courier New" w:cs="Times New Roman"/>
      <w:kern w:val="0"/>
      <w:sz w:val="23"/>
      <w:szCs w:val="20"/>
    </w:rPr>
  </w:style>
  <w:style w:type="paragraph" w:styleId="Heading1">
    <w:name w:val="heading 1"/>
    <w:basedOn w:val="Normal"/>
    <w:next w:val="Normal"/>
    <w:link w:val="Heading1Char"/>
    <w:uiPriority w:val="9"/>
    <w:qFormat/>
    <w:rsid w:val="00830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6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6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6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6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6A7"/>
    <w:rPr>
      <w:rFonts w:eastAsiaTheme="majorEastAsia" w:cstheme="majorBidi"/>
      <w:color w:val="272727" w:themeColor="text1" w:themeTint="D8"/>
    </w:rPr>
  </w:style>
  <w:style w:type="paragraph" w:styleId="Title">
    <w:name w:val="Title"/>
    <w:basedOn w:val="Normal"/>
    <w:next w:val="Normal"/>
    <w:link w:val="TitleChar"/>
    <w:uiPriority w:val="10"/>
    <w:qFormat/>
    <w:rsid w:val="008306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6A7"/>
    <w:pPr>
      <w:spacing w:before="160"/>
      <w:jc w:val="center"/>
    </w:pPr>
    <w:rPr>
      <w:i/>
      <w:iCs/>
      <w:color w:val="404040" w:themeColor="text1" w:themeTint="BF"/>
    </w:rPr>
  </w:style>
  <w:style w:type="character" w:customStyle="1" w:styleId="QuoteChar">
    <w:name w:val="Quote Char"/>
    <w:basedOn w:val="DefaultParagraphFont"/>
    <w:link w:val="Quote"/>
    <w:uiPriority w:val="29"/>
    <w:rsid w:val="008306A7"/>
    <w:rPr>
      <w:i/>
      <w:iCs/>
      <w:color w:val="404040" w:themeColor="text1" w:themeTint="BF"/>
    </w:rPr>
  </w:style>
  <w:style w:type="paragraph" w:styleId="ListParagraph">
    <w:name w:val="List Paragraph"/>
    <w:basedOn w:val="Normal"/>
    <w:uiPriority w:val="34"/>
    <w:qFormat/>
    <w:rsid w:val="008306A7"/>
    <w:pPr>
      <w:ind w:left="720"/>
      <w:contextualSpacing/>
    </w:pPr>
  </w:style>
  <w:style w:type="character" w:styleId="IntenseEmphasis">
    <w:name w:val="Intense Emphasis"/>
    <w:basedOn w:val="DefaultParagraphFont"/>
    <w:uiPriority w:val="21"/>
    <w:qFormat/>
    <w:rsid w:val="008306A7"/>
    <w:rPr>
      <w:i/>
      <w:iCs/>
      <w:color w:val="0F4761" w:themeColor="accent1" w:themeShade="BF"/>
    </w:rPr>
  </w:style>
  <w:style w:type="paragraph" w:styleId="IntenseQuote">
    <w:name w:val="Intense Quote"/>
    <w:basedOn w:val="Normal"/>
    <w:next w:val="Normal"/>
    <w:link w:val="IntenseQuoteChar"/>
    <w:uiPriority w:val="30"/>
    <w:qFormat/>
    <w:rsid w:val="00830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6A7"/>
    <w:rPr>
      <w:i/>
      <w:iCs/>
      <w:color w:val="0F4761" w:themeColor="accent1" w:themeShade="BF"/>
    </w:rPr>
  </w:style>
  <w:style w:type="character" w:styleId="IntenseReference">
    <w:name w:val="Intense Reference"/>
    <w:basedOn w:val="DefaultParagraphFont"/>
    <w:uiPriority w:val="32"/>
    <w:qFormat/>
    <w:rsid w:val="008306A7"/>
    <w:rPr>
      <w:b/>
      <w:bCs/>
      <w:smallCaps/>
      <w:color w:val="0F4761" w:themeColor="accent1" w:themeShade="BF"/>
      <w:spacing w:val="5"/>
    </w:rPr>
  </w:style>
  <w:style w:type="character" w:styleId="PageNumber">
    <w:name w:val="page number"/>
    <w:basedOn w:val="DefaultParagraphFont"/>
    <w:rsid w:val="0083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Hoffman</dc:creator>
  <cp:keywords/>
  <dc:description/>
  <cp:lastModifiedBy>Jenna Goodman</cp:lastModifiedBy>
  <cp:revision>2</cp:revision>
  <dcterms:created xsi:type="dcterms:W3CDTF">2025-07-03T15:23:00Z</dcterms:created>
  <dcterms:modified xsi:type="dcterms:W3CDTF">2025-07-03T15:23:00Z</dcterms:modified>
</cp:coreProperties>
</file>